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  <w:rFonts w:ascii="Times New Roman"/>
        </w:rPr>
      </w:pPr>
      <w:r>
        <w:rPr>
          <w:sz w:val="26"/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9525</wp:posOffset>
                </wp:positionH>
                <wp:positionV relativeFrom="page">
                  <wp:posOffset>8255</wp:posOffset>
                </wp:positionV>
                <wp:extent cx="7559040" cy="1130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1130935"/>
                          <a:chExt cx="7559040" cy="11309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9040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1130935">
                                <a:moveTo>
                                  <a:pt x="7559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0934"/>
                                </a:lnTo>
                                <a:lnTo>
                                  <a:pt x="7559040" y="1130934"/>
                                </a:lnTo>
                                <a:lnTo>
                                  <a:pt x="7559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7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21931" y="1040132"/>
                            <a:ext cx="6836409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6409" h="90170">
                                <a:moveTo>
                                  <a:pt x="6836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67"/>
                                </a:lnTo>
                                <a:lnTo>
                                  <a:pt x="6836409" y="90167"/>
                                </a:lnTo>
                                <a:lnTo>
                                  <a:pt x="6836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52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15911" y="386079"/>
                            <a:ext cx="55372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20" h="377825">
                                <a:moveTo>
                                  <a:pt x="286981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2540" y="66675"/>
                                </a:lnTo>
                                <a:lnTo>
                                  <a:pt x="24130" y="65405"/>
                                </a:lnTo>
                                <a:lnTo>
                                  <a:pt x="47625" y="64770"/>
                                </a:lnTo>
                                <a:lnTo>
                                  <a:pt x="108585" y="64770"/>
                                </a:lnTo>
                                <a:lnTo>
                                  <a:pt x="108585" y="349250"/>
                                </a:lnTo>
                                <a:lnTo>
                                  <a:pt x="107315" y="360045"/>
                                </a:lnTo>
                                <a:lnTo>
                                  <a:pt x="104775" y="375920"/>
                                </a:lnTo>
                                <a:lnTo>
                                  <a:pt x="178422" y="375920"/>
                                </a:lnTo>
                                <a:lnTo>
                                  <a:pt x="174612" y="342900"/>
                                </a:lnTo>
                                <a:lnTo>
                                  <a:pt x="173977" y="325120"/>
                                </a:lnTo>
                                <a:lnTo>
                                  <a:pt x="173977" y="64770"/>
                                </a:lnTo>
                                <a:lnTo>
                                  <a:pt x="239382" y="64770"/>
                                </a:lnTo>
                                <a:lnTo>
                                  <a:pt x="262851" y="65405"/>
                                </a:lnTo>
                                <a:lnTo>
                                  <a:pt x="285076" y="66675"/>
                                </a:lnTo>
                                <a:lnTo>
                                  <a:pt x="286981" y="6350"/>
                                </a:lnTo>
                                <a:close/>
                              </a:path>
                              <a:path w="553720" h="377825">
                                <a:moveTo>
                                  <a:pt x="553681" y="364490"/>
                                </a:moveTo>
                                <a:lnTo>
                                  <a:pt x="551776" y="304800"/>
                                </a:lnTo>
                                <a:lnTo>
                                  <a:pt x="529551" y="314960"/>
                                </a:lnTo>
                                <a:lnTo>
                                  <a:pt x="513676" y="320040"/>
                                </a:lnTo>
                                <a:lnTo>
                                  <a:pt x="497166" y="321945"/>
                                </a:lnTo>
                                <a:lnTo>
                                  <a:pt x="472401" y="322580"/>
                                </a:lnTo>
                                <a:lnTo>
                                  <a:pt x="426046" y="314325"/>
                                </a:lnTo>
                                <a:lnTo>
                                  <a:pt x="386676" y="290830"/>
                                </a:lnTo>
                                <a:lnTo>
                                  <a:pt x="358101" y="255905"/>
                                </a:lnTo>
                                <a:lnTo>
                                  <a:pt x="343496" y="210820"/>
                                </a:lnTo>
                                <a:lnTo>
                                  <a:pt x="478116" y="210820"/>
                                </a:lnTo>
                                <a:lnTo>
                                  <a:pt x="492086" y="212090"/>
                                </a:lnTo>
                                <a:lnTo>
                                  <a:pt x="504151" y="212725"/>
                                </a:lnTo>
                                <a:lnTo>
                                  <a:pt x="508596" y="213360"/>
                                </a:lnTo>
                                <a:lnTo>
                                  <a:pt x="508596" y="159385"/>
                                </a:lnTo>
                                <a:lnTo>
                                  <a:pt x="492086" y="160020"/>
                                </a:lnTo>
                                <a:lnTo>
                                  <a:pt x="481291" y="160655"/>
                                </a:lnTo>
                                <a:lnTo>
                                  <a:pt x="473671" y="160655"/>
                                </a:lnTo>
                                <a:lnTo>
                                  <a:pt x="463511" y="161290"/>
                                </a:lnTo>
                                <a:lnTo>
                                  <a:pt x="343496" y="161290"/>
                                </a:lnTo>
                                <a:lnTo>
                                  <a:pt x="359371" y="116840"/>
                                </a:lnTo>
                                <a:lnTo>
                                  <a:pt x="387946" y="83185"/>
                                </a:lnTo>
                                <a:lnTo>
                                  <a:pt x="426681" y="60960"/>
                                </a:lnTo>
                                <a:lnTo>
                                  <a:pt x="472401" y="53340"/>
                                </a:lnTo>
                                <a:lnTo>
                                  <a:pt x="498436" y="55245"/>
                                </a:lnTo>
                                <a:lnTo>
                                  <a:pt x="522566" y="60960"/>
                                </a:lnTo>
                                <a:lnTo>
                                  <a:pt x="540981" y="66040"/>
                                </a:lnTo>
                                <a:lnTo>
                                  <a:pt x="547966" y="68580"/>
                                </a:lnTo>
                                <a:lnTo>
                                  <a:pt x="549236" y="11430"/>
                                </a:lnTo>
                                <a:lnTo>
                                  <a:pt x="530821" y="4445"/>
                                </a:lnTo>
                                <a:lnTo>
                                  <a:pt x="516851" y="1270"/>
                                </a:lnTo>
                                <a:lnTo>
                                  <a:pt x="499706" y="0"/>
                                </a:lnTo>
                                <a:lnTo>
                                  <a:pt x="472401" y="0"/>
                                </a:lnTo>
                                <a:lnTo>
                                  <a:pt x="427316" y="4445"/>
                                </a:lnTo>
                                <a:lnTo>
                                  <a:pt x="384771" y="18415"/>
                                </a:lnTo>
                                <a:lnTo>
                                  <a:pt x="347306" y="40640"/>
                                </a:lnTo>
                                <a:lnTo>
                                  <a:pt x="315556" y="69850"/>
                                </a:lnTo>
                                <a:lnTo>
                                  <a:pt x="290791" y="104775"/>
                                </a:lnTo>
                                <a:lnTo>
                                  <a:pt x="274916" y="144145"/>
                                </a:lnTo>
                                <a:lnTo>
                                  <a:pt x="269201" y="187960"/>
                                </a:lnTo>
                                <a:lnTo>
                                  <a:pt x="274916" y="233680"/>
                                </a:lnTo>
                                <a:lnTo>
                                  <a:pt x="290791" y="274955"/>
                                </a:lnTo>
                                <a:lnTo>
                                  <a:pt x="315556" y="309880"/>
                                </a:lnTo>
                                <a:lnTo>
                                  <a:pt x="347306" y="338455"/>
                                </a:lnTo>
                                <a:lnTo>
                                  <a:pt x="384771" y="360045"/>
                                </a:lnTo>
                                <a:lnTo>
                                  <a:pt x="427316" y="373380"/>
                                </a:lnTo>
                                <a:lnTo>
                                  <a:pt x="472401" y="377825"/>
                                </a:lnTo>
                                <a:lnTo>
                                  <a:pt x="506691" y="375285"/>
                                </a:lnTo>
                                <a:lnTo>
                                  <a:pt x="532091" y="370840"/>
                                </a:lnTo>
                                <a:lnTo>
                                  <a:pt x="547966" y="366395"/>
                                </a:lnTo>
                                <a:lnTo>
                                  <a:pt x="553681" y="364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0833" y="320677"/>
                            <a:ext cx="241274" cy="888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721931" y="384809"/>
                            <a:ext cx="26225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376555">
                                <a:moveTo>
                                  <a:pt x="140322" y="0"/>
                                </a:moveTo>
                                <a:lnTo>
                                  <a:pt x="75565" y="0"/>
                                </a:lnTo>
                                <a:lnTo>
                                  <a:pt x="10795" y="3175"/>
                                </a:lnTo>
                                <a:lnTo>
                                  <a:pt x="1904" y="3810"/>
                                </a:lnTo>
                                <a:lnTo>
                                  <a:pt x="4445" y="46990"/>
                                </a:lnTo>
                                <a:lnTo>
                                  <a:pt x="4445" y="326390"/>
                                </a:lnTo>
                                <a:lnTo>
                                  <a:pt x="3810" y="344170"/>
                                </a:lnTo>
                                <a:lnTo>
                                  <a:pt x="0" y="376555"/>
                                </a:lnTo>
                                <a:lnTo>
                                  <a:pt x="75565" y="376555"/>
                                </a:lnTo>
                                <a:lnTo>
                                  <a:pt x="72390" y="361315"/>
                                </a:lnTo>
                                <a:lnTo>
                                  <a:pt x="71120" y="350520"/>
                                </a:lnTo>
                                <a:lnTo>
                                  <a:pt x="70485" y="339090"/>
                                </a:lnTo>
                                <a:lnTo>
                                  <a:pt x="70485" y="212725"/>
                                </a:lnTo>
                                <a:lnTo>
                                  <a:pt x="224142" y="212725"/>
                                </a:lnTo>
                                <a:lnTo>
                                  <a:pt x="249542" y="196215"/>
                                </a:lnTo>
                                <a:lnTo>
                                  <a:pt x="255892" y="186690"/>
                                </a:lnTo>
                                <a:lnTo>
                                  <a:pt x="70485" y="186690"/>
                                </a:lnTo>
                                <a:lnTo>
                                  <a:pt x="70485" y="52070"/>
                                </a:lnTo>
                                <a:lnTo>
                                  <a:pt x="262242" y="52070"/>
                                </a:lnTo>
                                <a:lnTo>
                                  <a:pt x="236842" y="26670"/>
                                </a:lnTo>
                                <a:lnTo>
                                  <a:pt x="196202" y="8255"/>
                                </a:lnTo>
                                <a:lnTo>
                                  <a:pt x="140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6538" y="436880"/>
                            <a:ext cx="148577" cy="134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792403" y="597534"/>
                            <a:ext cx="26416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160" h="163830">
                                <a:moveTo>
                                  <a:pt x="153657" y="0"/>
                                </a:moveTo>
                                <a:lnTo>
                                  <a:pt x="0" y="0"/>
                                </a:lnTo>
                                <a:lnTo>
                                  <a:pt x="69850" y="73025"/>
                                </a:lnTo>
                                <a:lnTo>
                                  <a:pt x="105410" y="109855"/>
                                </a:lnTo>
                                <a:lnTo>
                                  <a:pt x="143497" y="145415"/>
                                </a:lnTo>
                                <a:lnTo>
                                  <a:pt x="165722" y="163830"/>
                                </a:lnTo>
                                <a:lnTo>
                                  <a:pt x="264147" y="163830"/>
                                </a:lnTo>
                                <a:lnTo>
                                  <a:pt x="238112" y="146050"/>
                                </a:lnTo>
                                <a:lnTo>
                                  <a:pt x="222872" y="134620"/>
                                </a:lnTo>
                                <a:lnTo>
                                  <a:pt x="212077" y="125730"/>
                                </a:lnTo>
                                <a:lnTo>
                                  <a:pt x="198742" y="113665"/>
                                </a:lnTo>
                                <a:lnTo>
                                  <a:pt x="99695" y="17780"/>
                                </a:lnTo>
                                <a:lnTo>
                                  <a:pt x="142862" y="6985"/>
                                </a:lnTo>
                                <a:lnTo>
                                  <a:pt x="153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75pt;margin-top:.650020pt;width:595.2pt;height:89.05pt;mso-position-horizontal-relative:page;mso-position-vertical-relative:page;z-index:15728640" id="docshapegroup1" coordorigin="15,13" coordsize="11904,1781">
                <v:rect style="position:absolute;left:15;top:13;width:11904;height:1781" id="docshape2" filled="true" fillcolor="#00a7b3" stroked="false">
                  <v:fill type="solid"/>
                </v:rect>
                <v:rect style="position:absolute;left:1151;top:1651;width:10766;height:142" id="docshape3" filled="true" fillcolor="#5d5251" stroked="false">
                  <v:fill type="solid"/>
                </v:rect>
                <v:shape style="position:absolute;left:1614;top:621;width:872;height:595" id="docshape4" coordorigin="1615,621" coordsize="872,595" path="m2067,631l1615,631,1619,726,1653,724,1690,723,1786,723,1786,1171,1784,1188,1780,1213,1896,1213,1890,1161,1889,1133,1889,723,1992,723,2029,724,2064,726,2067,631xm2487,1195l2484,1101,2449,1117,2424,1125,2398,1128,2359,1129,2286,1116,2224,1079,2179,1024,2156,953,2368,953,2390,955,2409,956,2416,957,2416,872,2390,873,2373,874,2361,874,2345,875,2156,875,2181,805,2226,752,2287,717,2359,705,2400,708,2438,717,2467,725,2478,729,2480,639,2451,628,2429,623,2402,621,2359,621,2288,628,2221,650,2162,685,2112,731,2073,786,2048,848,2039,917,2048,989,2073,1054,2112,1109,2162,1154,2221,1188,2288,1209,2359,1216,2413,1212,2453,1205,2478,1198,2487,1195xe" filled="true" fillcolor="#fcfcfc" stroked="false">
                  <v:path arrowok="t"/>
                  <v:fill type="solid"/>
                </v:shape>
                <v:shape style="position:absolute;left:2110;top:518;width:380;height:140" type="#_x0000_t75" id="docshape5" stroked="false">
                  <v:imagedata r:id="rId5" o:title=""/>
                </v:shape>
                <v:shape style="position:absolute;left:1151;top:619;width:413;height:593" id="docshape6" coordorigin="1152,619" coordsize="413,593" path="m1373,619l1271,619,1169,624,1155,625,1159,693,1159,1133,1158,1161,1152,1212,1271,1212,1266,1188,1264,1171,1263,1153,1263,954,1505,954,1545,928,1555,913,1263,913,1263,701,1565,701,1525,661,1461,632,1373,619xe" filled="true" fillcolor="#fcfcfc" stroked="false">
                  <v:path arrowok="t"/>
                  <v:fill type="solid"/>
                </v:shape>
                <v:shape style="position:absolute;left:1363;top:701;width:234;height:212" type="#_x0000_t75" id="docshape7" stroked="false">
                  <v:imagedata r:id="rId6" o:title=""/>
                </v:shape>
                <v:shape style="position:absolute;left:1262;top:954;width:416;height:258" id="docshape8" coordorigin="1263,954" coordsize="416,258" path="m1505,954l1263,954,1373,1069,1429,1127,1489,1183,1524,1212,1679,1212,1638,1184,1614,1166,1597,1152,1576,1133,1420,982,1488,965,1505,954xe" filled="true" fillcolor="#fcfcf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230"/>
        <w:rPr>
          <w:rFonts w:ascii="Times New Roman"/>
          <w:sz w:val="26"/>
        </w:rPr>
      </w:pPr>
    </w:p>
    <w:p>
      <w:pPr>
        <w:pStyle w:val="Heading1"/>
        <w:spacing w:line="482" w:lineRule="auto"/>
        <w:ind w:left="3460" w:right="1784"/>
      </w:pPr>
      <w:r>
        <w:rPr>
          <w:color w:val="00A7B3"/>
        </w:rPr>
        <w:t xml:space="preserve">Téarmaí Tagartha an Choiste Luacha Saothair agus Forbartha Bainistíochta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49"/>
        <w:rPr>
          <w:b/>
          <w:sz w:val="26"/>
        </w:rPr>
      </w:pPr>
    </w:p>
    <w:p>
      <w:pPr>
        <w:spacing w:before="1"/>
        <w:ind w:left="122" w:right="0" w:firstLine="0"/>
        <w:jc w:val="center"/>
        <w:rPr>
          <w:b/>
          <w:sz w:val="26"/>
        </w:rPr>
      </w:pPr>
      <w:r>
        <w:rPr>
          <w:b/>
          <w:color w:val="00A7B3"/>
          <w:sz w:val="26"/>
        </w:rPr>
        <w:t xml:space="preserve">Márta 2025</w:t>
      </w:r>
    </w:p>
    <w:p>
      <w:pPr>
        <w:spacing w:after="0"/>
        <w:jc w:val="center"/>
        <w:rPr>
          <w:b/>
          <w:sz w:val="26"/>
        </w:rPr>
        <w:sectPr>
          <w:type w:val="continuous"/>
          <w:pgSz w:w="11930" w:h="16860"/>
          <w:pgMar w:top="0" w:bottom="280" w:left="1559" w:right="1133"/>
        </w:sectPr>
      </w:pPr>
    </w:p>
    <w:p>
      <w:pPr>
        <w:pStyle w:val="Heading2"/>
        <w:numPr>
          <w:ilvl w:val="0"/>
          <w:numId w:val="1"/>
        </w:numPr>
        <w:tabs>
          <w:tab w:pos="740" w:val="left" w:leader="none"/>
        </w:tabs>
        <w:spacing w:line="240" w:lineRule="auto" w:before="30" w:after="0"/>
        <w:ind w:left="740" w:right="0" w:hanging="720"/>
        <w:jc w:val="left"/>
      </w:pPr>
      <w:r>
        <w:t xml:space="preserve">Bunú, Raon Feidhme Ginearálta, Cuspóir agus Údarás</w:t>
      </w:r>
    </w:p>
    <w:p>
      <w:pPr>
        <w:pStyle w:val="BodyText"/>
        <w:spacing w:before="67"/>
        <w:rPr>
          <w:b/>
        </w:rPr>
      </w:pPr>
    </w:p>
    <w:p>
      <w:pPr>
        <w:pStyle w:val="BodyText"/>
        <w:spacing w:line="286" w:lineRule="exact"/>
        <w:ind w:left="740"/>
        <w:jc w:val="both"/>
      </w:pPr>
      <w:r>
        <w:t xml:space="preserve">Tá rún ag Bord RTÉ coiste den Bhord a chur ar bun dá ngairfear</w:t>
      </w:r>
    </w:p>
    <w:p>
      <w:pPr>
        <w:pStyle w:val="BodyText"/>
        <w:spacing w:line="286" w:lineRule="exact"/>
        <w:ind w:left="740"/>
        <w:jc w:val="both"/>
      </w:pPr>
      <w:r>
        <w:t xml:space="preserve">An Coiste Luacha Saothair agus Forbartha Bainistíochta (“an Coiste”).</w:t>
      </w:r>
    </w:p>
    <w:p>
      <w:pPr>
        <w:pStyle w:val="BodyText"/>
        <w:spacing w:before="264"/>
        <w:ind w:left="740"/>
        <w:jc w:val="both"/>
      </w:pPr>
      <w:r>
        <w:t xml:space="preserve">Beidh an Coiste freagrach as an méid seo a leanas:</w:t>
      </w:r>
    </w:p>
    <w:p>
      <w:pPr>
        <w:pStyle w:val="ListParagraph"/>
        <w:numPr>
          <w:ilvl w:val="0"/>
          <w:numId w:val="2"/>
        </w:numPr>
        <w:tabs>
          <w:tab w:pos="1100" w:val="left" w:leader="none"/>
        </w:tabs>
        <w:spacing w:line="228" w:lineRule="auto" w:before="275" w:after="0"/>
        <w:ind w:left="1100" w:right="134" w:hanging="360"/>
        <w:jc w:val="both"/>
        <w:rPr>
          <w:sz w:val="24"/>
        </w:rPr>
      </w:pPr>
      <w:r>
        <w:rPr>
          <w:sz w:val="24"/>
        </w:rPr>
        <w:t xml:space="preserve">Maoirseacht a dhéanamh ar luach saothair, téarmaí agus coinníollacha, pleanáil comharbais agus forbairt an Phríomh-Stiúrthóra, chomhaltaí na Foirne Ceannaireachta agus Rúnaí na Cuideachta.</w:t>
      </w:r>
    </w:p>
    <w:p>
      <w:pPr>
        <w:pStyle w:val="ListParagraph"/>
        <w:numPr>
          <w:ilvl w:val="0"/>
          <w:numId w:val="2"/>
        </w:numPr>
        <w:tabs>
          <w:tab w:pos="1100" w:val="left" w:leader="none"/>
        </w:tabs>
        <w:spacing w:line="228" w:lineRule="auto" w:before="279" w:after="0"/>
        <w:ind w:left="1100" w:right="126" w:hanging="360"/>
        <w:jc w:val="both"/>
        <w:rPr>
          <w:sz w:val="24"/>
        </w:rPr>
      </w:pPr>
      <w:r>
        <w:rPr>
          <w:sz w:val="24"/>
        </w:rPr>
        <w:t xml:space="preserve">Maoirseacht a dhéanamh ar luach saothair earcaithe láithreoireachta mar seo a leanas: (i) i gcás fostaithe, nuair is €100,000 nó os a chionn an tuarastal bunúsach sa bhliain agus (ii) i gcás earcú láithreoireachta daoine nach den fhoireann iad nuair is €100,000 nó os a chionn na táillí iomlána iníoctha de bhun an chonartha.</w:t>
      </w:r>
    </w:p>
    <w:p>
      <w:pPr>
        <w:pStyle w:val="ListParagraph"/>
        <w:numPr>
          <w:ilvl w:val="0"/>
          <w:numId w:val="2"/>
        </w:numPr>
        <w:tabs>
          <w:tab w:pos="1099" w:val="left" w:leader="none"/>
        </w:tabs>
        <w:spacing w:line="240" w:lineRule="auto" w:before="267" w:after="0"/>
        <w:ind w:left="1099" w:right="0" w:hanging="359"/>
        <w:jc w:val="left"/>
        <w:rPr>
          <w:sz w:val="24"/>
        </w:rPr>
      </w:pPr>
      <w:r>
        <w:rPr>
          <w:sz w:val="24"/>
        </w:rPr>
        <w:t xml:space="preserve">Maoirseacht a dhéanamh ar pholasaí luacha saothair RTÉ.</w:t>
      </w:r>
    </w:p>
    <w:p>
      <w:pPr>
        <w:pStyle w:val="ListParagraph"/>
        <w:numPr>
          <w:ilvl w:val="0"/>
          <w:numId w:val="2"/>
        </w:numPr>
        <w:tabs>
          <w:tab w:pos="1099" w:val="left" w:leader="none"/>
        </w:tabs>
        <w:spacing w:line="240" w:lineRule="auto" w:before="264" w:after="0"/>
        <w:ind w:left="1099" w:right="0" w:hanging="359"/>
        <w:jc w:val="left"/>
        <w:rPr>
          <w:sz w:val="24"/>
        </w:rPr>
      </w:pPr>
      <w:r>
        <w:rPr>
          <w:sz w:val="24"/>
        </w:rPr>
        <w:t xml:space="preserve">Maoirseacht a dhéanamh ar na socruithe maidir le foirceannadh comhaltaí den Fhoireann Ceannasaíochta.</w:t>
      </w:r>
    </w:p>
    <w:p>
      <w:pPr>
        <w:pStyle w:val="ListParagraph"/>
        <w:numPr>
          <w:ilvl w:val="0"/>
          <w:numId w:val="2"/>
        </w:numPr>
        <w:tabs>
          <w:tab w:pos="1098" w:val="left" w:leader="none"/>
          <w:tab w:pos="1100" w:val="left" w:leader="none"/>
        </w:tabs>
        <w:spacing w:line="225" w:lineRule="auto" w:before="278" w:after="0"/>
        <w:ind w:left="1100" w:right="136" w:hanging="360"/>
        <w:jc w:val="both"/>
        <w:rPr>
          <w:sz w:val="24"/>
        </w:rPr>
      </w:pPr>
      <w:r>
        <w:rPr>
          <w:sz w:val="24"/>
        </w:rPr>
        <w:t xml:space="preserve">Comhairle a chur ar Cathaoirleach Bhord RTÉ i dtaca le pleanáil comharbais Bhord RTÉ agus comhaltaí boird neamhfheidhmiúcháin d’fhochuideachta.</w:t>
      </w:r>
    </w:p>
    <w:p>
      <w:pPr>
        <w:pStyle w:val="ListParagraph"/>
        <w:numPr>
          <w:ilvl w:val="0"/>
          <w:numId w:val="2"/>
        </w:numPr>
        <w:tabs>
          <w:tab w:pos="1100" w:val="left" w:leader="none"/>
        </w:tabs>
        <w:spacing w:line="240" w:lineRule="auto" w:before="269" w:after="0"/>
        <w:ind w:left="1100" w:right="0" w:hanging="360"/>
        <w:jc w:val="left"/>
        <w:rPr>
          <w:sz w:val="24"/>
        </w:rPr>
      </w:pPr>
      <w:r>
        <w:rPr>
          <w:sz w:val="24"/>
        </w:rPr>
        <w:t xml:space="preserve">Dualgais mar atá leagtha amach go mionsonraithe i Roinn 4 den cháipéis seo.</w:t>
      </w:r>
    </w:p>
    <w:p>
      <w:pPr>
        <w:pStyle w:val="BodyText"/>
        <w:spacing w:before="263"/>
        <w:ind w:left="740"/>
        <w:jc w:val="both"/>
      </w:pPr>
      <w:r>
        <w:t xml:space="preserve">Tá an Coiste údaraithe ag an mBord an méid seo a dhéanamh:</w:t>
      </w: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24" w:val="left" w:leader="none"/>
        </w:tabs>
        <w:spacing w:line="228" w:lineRule="auto" w:before="276" w:after="0"/>
        <w:ind w:left="1100" w:right="123" w:hanging="360"/>
        <w:jc w:val="both"/>
        <w:rPr>
          <w:sz w:val="24"/>
        </w:rPr>
      </w:pPr>
      <w:r>
        <w:rPr>
          <w:sz w:val="24"/>
        </w:rPr>
        <w:t xml:space="preserve">iniúchadh a dhéanamh ar aon ghníomhaíocht a thiteann faoina théarmaí tagartha.</w:t>
      </w:r>
      <w:r>
        <w:rPr>
          <w:sz w:val="24"/>
        </w:rPr>
        <w:t xml:space="preserve"> </w:t>
      </w:r>
      <w:r>
        <w:rPr>
          <w:sz w:val="24"/>
        </w:rPr>
        <w:t xml:space="preserve">Tá an Coiste údaraithe aon fhaisnéis a iarraidh ar aon fhostaí de réir mar a theastóidh uaidh agus tugtar ordú do gach fostaí aon iarratas a dhéanann an Coiste a chomhlíonadh;</w:t>
      </w:r>
    </w:p>
    <w:p>
      <w:pPr>
        <w:pStyle w:val="ListParagraph"/>
        <w:numPr>
          <w:ilvl w:val="0"/>
          <w:numId w:val="2"/>
        </w:numPr>
        <w:tabs>
          <w:tab w:pos="1100" w:val="left" w:leader="none"/>
        </w:tabs>
        <w:spacing w:line="228" w:lineRule="auto" w:before="279" w:after="0"/>
        <w:ind w:left="1100" w:right="131" w:hanging="360"/>
        <w:jc w:val="both"/>
        <w:rPr>
          <w:sz w:val="24"/>
        </w:rPr>
      </w:pPr>
      <w:r>
        <w:rPr>
          <w:sz w:val="24"/>
        </w:rPr>
        <w:t xml:space="preserve">comhairle neamhspleách dlí nó comhairle ghairmiúil neamhspleách eile a fháil ar aon nithe a thiteann faoina théarma tagartha de réir mar a mheastar is gá.</w:t>
      </w:r>
    </w:p>
    <w:p>
      <w:pPr>
        <w:pStyle w:val="BodyText"/>
      </w:pPr>
    </w:p>
    <w:p>
      <w:pPr>
        <w:pStyle w:val="BodyText"/>
        <w:spacing w:line="228" w:lineRule="auto"/>
        <w:ind w:left="740" w:right="133"/>
        <w:jc w:val="both"/>
      </w:pPr>
      <w:r>
        <w:t xml:space="preserve">Cloífidh an Coiste le beartas Rialtais maidir leis na socruithe i dtaca le híocaíocht le POFanna Comhlachtaí Stáit agus, nuair is cuí, le gach ball foirne eile díobh mar atá leagtha amach sa Chód Cleachtais chun Comhlachtaí Stáit a Rialú (“an Cód”).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740" w:val="left" w:leader="none"/>
        </w:tabs>
        <w:spacing w:line="240" w:lineRule="auto" w:before="1" w:after="0"/>
        <w:ind w:left="740" w:right="0" w:hanging="720"/>
        <w:jc w:val="left"/>
      </w:pPr>
      <w:r>
        <w:t xml:space="preserve">Comhaltas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189" w:val="left" w:leader="none"/>
          <w:tab w:pos="1191" w:val="left" w:leader="none"/>
        </w:tabs>
        <w:spacing w:line="228" w:lineRule="auto" w:before="0" w:after="0"/>
        <w:ind w:left="1191" w:right="27" w:hanging="452"/>
        <w:jc w:val="both"/>
        <w:rPr>
          <w:sz w:val="24"/>
        </w:rPr>
      </w:pPr>
      <w:r>
        <w:rPr>
          <w:sz w:val="24"/>
        </w:rPr>
        <w:t xml:space="preserve">Is é an Bord a cheapfaidh comhaltaí an Coiste Luacha Saothair agus Forbartha Bainistíochta agus beidh ar a laghad triúr comhaltaí Boird neamhspleácha</w:t>
      </w:r>
      <w:hyperlink w:history="true" w:anchor="_bookmark0">
        <w:r>
          <w:rPr>
            <w:sz w:val="24"/>
            <w:vertAlign w:val="superscript"/>
          </w:rPr>
          <w:t xml:space="preserve">1</w:t>
        </w:r>
      </w:hyperlink>
      <w:r>
        <w:rPr>
          <w:sz w:val="24"/>
          <w:vertAlign w:val="baseline"/>
        </w:rPr>
        <w:t xml:space="preserve"> ar an gCoiste, duine acu Cathaoirleach an Bhoird.</w:t>
      </w:r>
      <w:r>
        <w:rPr>
          <w:sz w:val="24"/>
          <w:vertAlign w:val="baseline"/>
        </w:rPr>
        <w:t xml:space="preserve"> Ní comhalta den choiste a bheidh sa Phríomh-Stiúrthóir.</w:t>
      </w:r>
    </w:p>
    <w:p>
      <w:pPr>
        <w:pStyle w:val="BodyText"/>
        <w:spacing w:before="2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1003096</wp:posOffset>
                </wp:positionH>
                <wp:positionV relativeFrom="paragraph">
                  <wp:posOffset>316806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984001pt;margin-top:24.945427pt;width:144.020pt;height:.599980pt;mso-position-horizontal-relative:page;mso-position-vertical-relative:paragraph;z-index:-15728128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6"/>
        <w:ind w:left="20" w:right="0" w:firstLine="0"/>
        <w:jc w:val="left"/>
        <w:rPr>
          <w:sz w:val="20"/>
          <w:rFonts w:ascii="Times New Roman"/>
        </w:rPr>
      </w:pPr>
      <w:bookmarkStart w:id="1" w:name="_bookmark0"/>
      <w:bookmarkEnd w:id="1"/>
      <w:r>
        <w:rPr>
          <w:sz w:val="20"/>
          <w:vertAlign w:val="superscript"/>
          <w:rFonts w:ascii="Times New Roman"/>
        </w:rPr>
        <w:t xml:space="preserve">1</w:t>
      </w:r>
      <w:r>
        <w:rPr>
          <w:sz w:val="20"/>
          <w:rFonts w:ascii="Times New Roman"/>
        </w:rPr>
        <w:t xml:space="preserve"> Mar atá sainmhínithe i bhForáil 10 in </w:t>
      </w:r>
      <w:r>
        <w:rPr>
          <w:sz w:val="20"/>
          <w:i/>
          <w:iCs/>
          <w:rFonts w:ascii="Times New Roman"/>
        </w:rPr>
        <w:t xml:space="preserve">UK Corporate Governance Code</w:t>
      </w:r>
      <w:r>
        <w:rPr>
          <w:sz w:val="20"/>
          <w:rFonts w:ascii="Times New Roman"/>
        </w:rPr>
        <w:t xml:space="preserve"> (Iúil 2018)</w:t>
      </w:r>
    </w:p>
    <w:p>
      <w:pPr>
        <w:spacing w:after="0"/>
        <w:jc w:val="left"/>
        <w:rPr>
          <w:rFonts w:ascii="Times New Roman"/>
          <w:sz w:val="20"/>
        </w:rPr>
        <w:sectPr>
          <w:footerReference w:type="default" r:id="rId7"/>
          <w:pgSz w:w="11930" w:h="16860"/>
          <w:pgMar w:header="0" w:footer="1537" w:top="1740" w:bottom="1720" w:left="1559" w:right="1133"/>
          <w:pgNumType w:start="2"/>
        </w:sectPr>
      </w:pPr>
    </w:p>
    <w:p>
      <w:pPr>
        <w:pStyle w:val="ListParagraph"/>
        <w:numPr>
          <w:ilvl w:val="0"/>
          <w:numId w:val="3"/>
        </w:numPr>
        <w:tabs>
          <w:tab w:pos="1189" w:val="left" w:leader="none"/>
          <w:tab w:pos="1191" w:val="left" w:leader="none"/>
        </w:tabs>
        <w:spacing w:line="228" w:lineRule="auto" w:before="49" w:after="0"/>
        <w:ind w:left="1191" w:right="35" w:hanging="452"/>
        <w:jc w:val="both"/>
        <w:rPr>
          <w:sz w:val="24"/>
        </w:rPr>
      </w:pPr>
      <w:r>
        <w:rPr>
          <w:sz w:val="24"/>
        </w:rPr>
        <w:t xml:space="preserve">Feidhmeoidh Cathaoirleach an Bhoird mar Chathaoirleach an Choiste.</w:t>
      </w:r>
      <w:r>
        <w:rPr>
          <w:sz w:val="24"/>
        </w:rPr>
        <w:t xml:space="preserve"> </w:t>
      </w:r>
      <w:r>
        <w:rPr>
          <w:sz w:val="24"/>
        </w:rPr>
        <w:t xml:space="preserve">Má bhíonn an Cathaoirleach as láthair, déanfaidh na comhaltaí a bheidh i láthair ann Cathaoirleach gníomhach a roghnú don chruinniú sin.</w:t>
      </w:r>
    </w:p>
    <w:p>
      <w:pPr>
        <w:pStyle w:val="BodyText"/>
      </w:pPr>
    </w:p>
    <w:p>
      <w:pPr>
        <w:pStyle w:val="BodyText"/>
        <w:ind w:left="740"/>
      </w:pPr>
      <w:r>
        <w:t xml:space="preserve">Is é an córam a bheidh ann beirt chomhaltaí.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189" w:val="left" w:leader="none"/>
          <w:tab w:pos="1191" w:val="left" w:leader="none"/>
        </w:tabs>
        <w:spacing w:line="228" w:lineRule="auto" w:before="1" w:after="0"/>
        <w:ind w:left="1191" w:right="25" w:hanging="452"/>
        <w:jc w:val="both"/>
        <w:rPr>
          <w:sz w:val="24"/>
        </w:rPr>
      </w:pPr>
      <w:r>
        <w:rPr>
          <w:sz w:val="24"/>
        </w:rPr>
        <w:t xml:space="preserve">Ní bheidh ceart uathoibríoch ach ag comhaltaí den Choiste Luacha Saothair agus Forbartha Bainistíochta freastal ar chruinnithe den Choiste.</w:t>
      </w:r>
      <w:r>
        <w:rPr>
          <w:sz w:val="24"/>
        </w:rPr>
        <w:t xml:space="preserve"> </w:t>
      </w:r>
      <w:r>
        <w:rPr>
          <w:sz w:val="24"/>
        </w:rPr>
        <w:t xml:space="preserve">Ar chuireadh ó Chathaoirleach an Choiste, freastalóidh Rúnaí an Ghrúpa ar chruinnithe ach amháin ar aon chuid de chruinniú arbh fhearr le Cathaoirleach an Choiste an chuid sin a choinneáil go díreach do chomhaltaí an Choiste agus ní d’aon duine eile.</w:t>
      </w:r>
      <w:r>
        <w:rPr>
          <w:sz w:val="24"/>
        </w:rPr>
        <w:t xml:space="preserve"> </w:t>
      </w:r>
      <w:r>
        <w:rPr>
          <w:sz w:val="24"/>
        </w:rPr>
        <w:t xml:space="preserve">Féadfar cuireadh a thabhairt do chomhaltaí Boird eile agus do bhainistíocht feidhmiúcháin freastal ar chruinniú/ar chruinnithe ar bith nó ar chuid de chruinniú nó de chruinnithe ar bith.</w:t>
      </w:r>
    </w:p>
    <w:p>
      <w:pPr>
        <w:pStyle w:val="ListParagraph"/>
        <w:numPr>
          <w:ilvl w:val="0"/>
          <w:numId w:val="3"/>
        </w:numPr>
        <w:tabs>
          <w:tab w:pos="1189" w:val="left" w:leader="none"/>
          <w:tab w:pos="1191" w:val="left" w:leader="none"/>
        </w:tabs>
        <w:spacing w:line="228" w:lineRule="auto" w:before="279" w:after="0"/>
        <w:ind w:left="1191" w:right="30" w:hanging="452"/>
        <w:jc w:val="both"/>
        <w:rPr>
          <w:sz w:val="24"/>
        </w:rPr>
      </w:pPr>
      <w:r>
        <w:rPr>
          <w:sz w:val="24"/>
        </w:rPr>
        <w:t xml:space="preserve">Is faoin mBord an cinneadh maidir le fad na gceapachán chun an Choiste Luacha Saothair agus Forbartha Bainistíochta. Féadfar comhaltaí a cheapadh ar feadh tréimhse go dáta éagtha a gcomhaltais den Bhord, an dáta sin san áireamh.</w:t>
      </w:r>
    </w:p>
    <w:p>
      <w:pPr>
        <w:pStyle w:val="BodyText"/>
        <w:spacing w:before="5"/>
      </w:pPr>
    </w:p>
    <w:p>
      <w:pPr>
        <w:pStyle w:val="Heading2"/>
        <w:numPr>
          <w:ilvl w:val="0"/>
          <w:numId w:val="1"/>
        </w:numPr>
        <w:tabs>
          <w:tab w:pos="740" w:val="left" w:leader="none"/>
        </w:tabs>
        <w:spacing w:line="240" w:lineRule="auto" w:before="1" w:after="0"/>
        <w:ind w:left="740" w:right="0" w:hanging="720"/>
        <w:jc w:val="left"/>
      </w:pPr>
      <w:r>
        <w:t xml:space="preserve">Cruinnithe</w:t>
      </w:r>
    </w:p>
    <w:p>
      <w:pPr>
        <w:pStyle w:val="BodyText"/>
        <w:spacing w:before="78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1" w:after="0"/>
        <w:ind w:left="1190" w:right="0" w:hanging="450"/>
        <w:jc w:val="left"/>
        <w:rPr>
          <w:sz w:val="24"/>
        </w:rPr>
      </w:pPr>
      <w:r>
        <w:rPr>
          <w:sz w:val="24"/>
        </w:rPr>
        <w:t xml:space="preserve">Minicíocht / cruinnithe neamhchorpracha</w:t>
      </w:r>
    </w:p>
    <w:p>
      <w:pPr>
        <w:pStyle w:val="ListParagraph"/>
        <w:numPr>
          <w:ilvl w:val="0"/>
          <w:numId w:val="4"/>
        </w:numPr>
        <w:tabs>
          <w:tab w:pos="1191" w:val="left" w:leader="none"/>
        </w:tabs>
        <w:spacing w:line="240" w:lineRule="auto" w:before="285" w:after="0"/>
        <w:ind w:left="1191" w:right="0" w:hanging="451"/>
        <w:jc w:val="left"/>
        <w:rPr>
          <w:sz w:val="24"/>
        </w:rPr>
      </w:pPr>
      <w:r>
        <w:rPr>
          <w:sz w:val="24"/>
        </w:rPr>
        <w:t xml:space="preserve">Beidh cruinniú ag an gCoiste dhá uair sa bhliain ar a laghad agus in amanna eile de réir mar is gá.</w:t>
      </w:r>
    </w:p>
    <w:p>
      <w:pPr>
        <w:pStyle w:val="ListParagraph"/>
        <w:numPr>
          <w:ilvl w:val="0"/>
          <w:numId w:val="4"/>
        </w:numPr>
        <w:tabs>
          <w:tab w:pos="1189" w:val="left" w:leader="none"/>
          <w:tab w:pos="1191" w:val="left" w:leader="none"/>
        </w:tabs>
        <w:spacing w:line="228" w:lineRule="auto" w:before="278" w:after="0"/>
        <w:ind w:left="1191" w:right="24" w:hanging="452"/>
        <w:jc w:val="both"/>
        <w:rPr>
          <w:sz w:val="24"/>
        </w:rPr>
      </w:pPr>
      <w:r>
        <w:rPr>
          <w:sz w:val="24"/>
        </w:rPr>
        <w:t xml:space="preserve">Nuair is gá, féadfar cruinnithe a thionól ar an teileafón nó ar aon mhodh leictreonach cuí eile trínar féidir le gach comhalta den Choiste an cruinniú a chloisteáil agus trínar féidir iadsan a chloisteáil.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1" w:after="0"/>
        <w:ind w:left="1190" w:right="0" w:hanging="450"/>
        <w:jc w:val="left"/>
        <w:rPr>
          <w:sz w:val="24"/>
        </w:rPr>
      </w:pPr>
      <w:r>
        <w:rPr>
          <w:sz w:val="24"/>
        </w:rPr>
        <w:t xml:space="preserve">Fógra maidir le cruinnithe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5"/>
        </w:numPr>
        <w:tabs>
          <w:tab w:pos="1189" w:val="left" w:leader="none"/>
          <w:tab w:pos="1191" w:val="left" w:leader="none"/>
        </w:tabs>
        <w:spacing w:line="228" w:lineRule="auto" w:before="1" w:after="0"/>
        <w:ind w:left="1191" w:right="34" w:hanging="452"/>
        <w:jc w:val="both"/>
        <w:rPr>
          <w:sz w:val="24"/>
        </w:rPr>
      </w:pPr>
      <w:r>
        <w:rPr>
          <w:sz w:val="24"/>
        </w:rPr>
        <w:t xml:space="preserve">Déanfaidh Rúnaí an Choiste cruinnithe den Choiste a eagrú arna iarraidh sin d’aon duine dá chomhaltaí agus de réir plean comhaontaithe oibre.</w:t>
      </w:r>
    </w:p>
    <w:p>
      <w:pPr>
        <w:pStyle w:val="ListParagraph"/>
        <w:numPr>
          <w:ilvl w:val="0"/>
          <w:numId w:val="5"/>
        </w:numPr>
        <w:tabs>
          <w:tab w:pos="1189" w:val="left" w:leader="none"/>
          <w:tab w:pos="1191" w:val="left" w:leader="none"/>
        </w:tabs>
        <w:spacing w:line="228" w:lineRule="auto" w:before="281" w:after="0"/>
        <w:ind w:left="1191" w:right="32" w:hanging="452"/>
        <w:jc w:val="both"/>
        <w:rPr>
          <w:sz w:val="24"/>
        </w:rPr>
      </w:pPr>
      <w:r>
        <w:rPr>
          <w:sz w:val="24"/>
        </w:rPr>
        <w:t xml:space="preserve">Ach amháin má dhéantar socrú eile, cuirfear fógra maidir le gach cruinniú (an t-ionad, an t-am agus an dáta deimhnithe ann) mar aon le clár na míreanna a phléifear ann ar aghaidh chuig gach duine den Choiste agus chuig aon daoine eile a mbeidh orthu freastal air i dtráth cuí roimh an gcruinniú.</w:t>
      </w:r>
      <w:r>
        <w:rPr>
          <w:sz w:val="24"/>
        </w:rPr>
        <w:t xml:space="preserve"> </w:t>
      </w:r>
      <w:r>
        <w:rPr>
          <w:sz w:val="24"/>
        </w:rPr>
        <w:t xml:space="preserve">Seolfar páipéir thacaíochta chuig comhaltaí an Choiste agus chuig daoine eile den lucht freastail, de réir mar is cuí, san am céanna.</w:t>
      </w:r>
    </w:p>
    <w:p>
      <w:pPr>
        <w:pStyle w:val="ListParagraph"/>
        <w:numPr>
          <w:ilvl w:val="0"/>
          <w:numId w:val="5"/>
        </w:numPr>
        <w:tabs>
          <w:tab w:pos="1189" w:val="left" w:leader="none"/>
          <w:tab w:pos="1191" w:val="left" w:leader="none"/>
        </w:tabs>
        <w:spacing w:line="230" w:lineRule="auto" w:before="277" w:after="0"/>
        <w:ind w:left="1191" w:right="32" w:hanging="452"/>
        <w:jc w:val="both"/>
        <w:rPr>
          <w:sz w:val="24"/>
        </w:rPr>
      </w:pPr>
      <w:r>
        <w:rPr>
          <w:sz w:val="24"/>
        </w:rPr>
        <w:t xml:space="preserve">Feidhmeoidh Rúnaí Ghrúpa RTÉ, nó ainmní an duine sin, mar Rúnaí an Choiste.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</w:tabs>
        <w:spacing w:line="240" w:lineRule="auto" w:before="266" w:after="0"/>
        <w:ind w:left="1190" w:right="0" w:hanging="450"/>
        <w:jc w:val="left"/>
        <w:rPr>
          <w:sz w:val="24"/>
        </w:rPr>
      </w:pPr>
      <w:r>
        <w:rPr>
          <w:sz w:val="24"/>
        </w:rPr>
        <w:t xml:space="preserve">Miontuairiscí ó chruinnithe agus teacht ar Rúnaí Ghrúpa RTÉ</w:t>
      </w:r>
    </w:p>
    <w:p>
      <w:pPr>
        <w:pStyle w:val="ListParagraph"/>
        <w:numPr>
          <w:ilvl w:val="0"/>
          <w:numId w:val="6"/>
        </w:numPr>
        <w:tabs>
          <w:tab w:pos="1189" w:val="left" w:leader="none"/>
          <w:tab w:pos="1191" w:val="left" w:leader="none"/>
        </w:tabs>
        <w:spacing w:line="228" w:lineRule="auto" w:before="277" w:after="0"/>
        <w:ind w:left="1191" w:right="30" w:hanging="452"/>
        <w:jc w:val="both"/>
        <w:rPr>
          <w:sz w:val="24"/>
        </w:rPr>
      </w:pPr>
      <w:r>
        <w:rPr>
          <w:sz w:val="24"/>
        </w:rPr>
        <w:t xml:space="preserve">Beidh teacht ag an gCoiste ar sheirbhísí Rúnaí Ghrúpa RTÉ i dtaca le haon chúrsaí ag baint leis an gcoiste, mar seo a leanas, cuir i gcás: cuidiú le Cathaoirleach an Choiste obair an Choiste a phleanáil; cláir do chruinnithe a chur le chéile; miontuairiscí a choinneáil agus aon tacaíocht phraiticiúil riachtanach eile a chur ar fáil de réir mar a mheastar a bheith riachtanach.</w:t>
      </w:r>
    </w:p>
    <w:p>
      <w:pPr>
        <w:pStyle w:val="ListParagraph"/>
        <w:spacing w:after="0" w:line="228" w:lineRule="auto"/>
        <w:jc w:val="both"/>
        <w:rPr>
          <w:sz w:val="24"/>
        </w:rPr>
        <w:sectPr>
          <w:pgSz w:w="11930" w:h="16860"/>
          <w:pgMar w:header="0" w:footer="1537" w:top="1440" w:bottom="1820" w:left="1559" w:right="1133"/>
        </w:sectPr>
      </w:pP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28" w:lineRule="auto" w:before="49" w:after="0"/>
        <w:ind w:left="1280" w:right="32" w:hanging="449"/>
        <w:jc w:val="both"/>
        <w:rPr>
          <w:sz w:val="24"/>
        </w:rPr>
      </w:pPr>
      <w:r>
        <w:rPr>
          <w:sz w:val="24"/>
        </w:rPr>
        <w:t xml:space="preserve">Scríobhfaidh an Rúnaí miontuairiscí ar na himeachtaí agus na rúin i ngach cruinniú den Choiste agus taifeadtar ainmneacha na daoine i láthair ann agus ag freastal air.</w:t>
      </w:r>
      <w:r>
        <w:rPr>
          <w:sz w:val="24"/>
        </w:rPr>
        <w:t xml:space="preserve"> </w:t>
      </w:r>
      <w:r>
        <w:rPr>
          <w:sz w:val="24"/>
        </w:rPr>
        <w:t xml:space="preserve">(Má tharlaíonn nach mbíonn an Rúnaí i láthair do mhír ar an gclár oibre, ainmneoidh na comhaltaí i láthair ann comhalta amháin le miontuairiscí a scríobh ar na himeachtaí).</w:t>
      </w:r>
    </w:p>
    <w:p>
      <w:pPr>
        <w:pStyle w:val="ListParagraph"/>
        <w:numPr>
          <w:ilvl w:val="0"/>
          <w:numId w:val="6"/>
        </w:numPr>
        <w:tabs>
          <w:tab w:pos="1280" w:val="left" w:leader="none"/>
        </w:tabs>
        <w:spacing w:line="228" w:lineRule="auto" w:before="161" w:after="0"/>
        <w:ind w:left="1280" w:right="35" w:hanging="449"/>
        <w:jc w:val="both"/>
        <w:rPr>
          <w:sz w:val="24"/>
        </w:rPr>
      </w:pPr>
      <w:r>
        <w:rPr>
          <w:sz w:val="24"/>
        </w:rPr>
        <w:t xml:space="preserve">Déanfaidh an Rúnaí dréacht-mhiontuairiscí ó chruinnithe den Choiste a scaipeadh go pras ar gach comhalta den Choiste agus, nuair a dhéantar iad a aontú, ar gach comhalta den Bhord.</w:t>
      </w:r>
    </w:p>
    <w:p>
      <w:pPr>
        <w:pStyle w:val="ListParagraph"/>
        <w:numPr>
          <w:ilvl w:val="1"/>
          <w:numId w:val="1"/>
        </w:numPr>
        <w:tabs>
          <w:tab w:pos="1280" w:val="left" w:leader="none"/>
        </w:tabs>
        <w:spacing w:line="240" w:lineRule="auto" w:before="255" w:after="0"/>
        <w:ind w:left="1280" w:right="0" w:hanging="809"/>
        <w:jc w:val="left"/>
        <w:rPr>
          <w:sz w:val="24"/>
        </w:rPr>
      </w:pPr>
      <w:r>
        <w:rPr>
          <w:sz w:val="24"/>
        </w:rPr>
        <w:t xml:space="preserve">Coinbhleachtaí leasa</w:t>
      </w:r>
    </w:p>
    <w:p>
      <w:pPr>
        <w:pStyle w:val="BodyText"/>
        <w:spacing w:before="256"/>
      </w:pPr>
    </w:p>
    <w:p>
      <w:pPr>
        <w:pStyle w:val="ListParagraph"/>
        <w:numPr>
          <w:ilvl w:val="2"/>
          <w:numId w:val="1"/>
        </w:numPr>
        <w:tabs>
          <w:tab w:pos="1280" w:val="left" w:leader="none"/>
        </w:tabs>
        <w:spacing w:line="228" w:lineRule="auto" w:before="0" w:after="0"/>
        <w:ind w:left="1280" w:right="32" w:hanging="540"/>
        <w:jc w:val="both"/>
        <w:rPr>
          <w:sz w:val="24"/>
        </w:rPr>
      </w:pPr>
      <w:r>
        <w:rPr>
          <w:sz w:val="24"/>
        </w:rPr>
        <w:t xml:space="preserve">Cloífidh an Coiste leis an bpróiseas chun dearbhuithe leasa a thaifeadadh atá leagtha amach i dTéarmaí Tagartha Bhord RTÉ, roinn 4.6.</w:t>
      </w:r>
    </w:p>
    <w:p>
      <w:pPr>
        <w:pStyle w:val="ListParagraph"/>
        <w:numPr>
          <w:ilvl w:val="2"/>
          <w:numId w:val="1"/>
        </w:numPr>
        <w:tabs>
          <w:tab w:pos="1280" w:val="left" w:leader="none"/>
        </w:tabs>
        <w:spacing w:line="228" w:lineRule="auto" w:before="277" w:after="0"/>
        <w:ind w:left="1280" w:right="36" w:hanging="540"/>
        <w:jc w:val="both"/>
        <w:rPr>
          <w:sz w:val="24"/>
        </w:rPr>
      </w:pPr>
      <w:r>
        <w:rPr>
          <w:sz w:val="24"/>
        </w:rPr>
        <w:t xml:space="preserve">Ní féidir leis an bPríomh-Stiúrthóir, duine den Fhoireann Ceannaireachta ná Rúnaí na Cuideachta páirt a ghlacadh sa phlé ná i gcinntí ag baint lena luach saothair féin.</w:t>
      </w:r>
    </w:p>
    <w:p>
      <w:pPr>
        <w:pStyle w:val="Heading2"/>
        <w:numPr>
          <w:ilvl w:val="0"/>
          <w:numId w:val="1"/>
        </w:numPr>
        <w:tabs>
          <w:tab w:pos="740" w:val="left" w:leader="none"/>
        </w:tabs>
        <w:spacing w:line="240" w:lineRule="auto" w:before="269" w:after="0"/>
        <w:ind w:left="740" w:right="0" w:hanging="720"/>
        <w:jc w:val="left"/>
      </w:pPr>
      <w:r>
        <w:t xml:space="preserve">Dualgais</w:t>
      </w:r>
    </w:p>
    <w:p>
      <w:pPr>
        <w:pStyle w:val="BodyText"/>
        <w:spacing w:before="262"/>
        <w:ind w:left="740"/>
      </w:pPr>
      <w:r>
        <w:t xml:space="preserve">Is iad seo a leanas dualgais an Choiste:</w: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28" w:lineRule="auto" w:before="0" w:after="0"/>
        <w:ind w:left="1280" w:right="452" w:hanging="540"/>
        <w:jc w:val="both"/>
        <w:rPr>
          <w:sz w:val="24"/>
        </w:rPr>
      </w:pPr>
      <w:r>
        <w:rPr>
          <w:sz w:val="24"/>
        </w:rPr>
        <w:t xml:space="preserve">Spriocanna, feidhmíocht agus luach saothair an Phríomh-Stiúrthóra a mheas; ceapachán, spriocanna, feidhmíocht agus luach saothair an Leas-Phríomhstiúrthóra, nó aon duine a cheaptar chuig ról an Phríomh-Stiúrthóra i gcomhréir le hAlt 89 (8) den Acht Craolacháin, 2009, a mheas, agus moltaí a chur faoi bhráid an Bhoird sula n-iarrtar ceadú an Rialtais ina leith.</w:t>
      </w:r>
      <w:r>
        <w:rPr>
          <w:sz w:val="24"/>
        </w:rPr>
        <w:t xml:space="preserve"> </w:t>
      </w:r>
      <w:r>
        <w:rPr>
          <w:sz w:val="24"/>
        </w:rPr>
        <w:t xml:space="preserve">Déanfar a leithéid de phlé i gcomhthéacs an bheartais chuí Rialtais.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28" w:lineRule="auto" w:before="279" w:after="0"/>
        <w:ind w:left="1280" w:right="452" w:hanging="540"/>
        <w:jc w:val="both"/>
        <w:rPr>
          <w:sz w:val="24"/>
        </w:rPr>
      </w:pPr>
      <w:r>
        <w:rPr>
          <w:sz w:val="24"/>
        </w:rPr>
        <w:t xml:space="preserve">I gcomhairle leis an bPríomh-Stiúrthóir, ceadú luacha saothair agus téarmaí agus coinníollacha eile fostaíochta chomhaltaí Fhoireann Ceannaireachta an Phríomh-Stiúrthóra agus Rúnaí na Cuideachta ag féachaint do bheartas Rialtais i dtaca le luach saothair lucht ardbhainistíochta Comhlachtaí Stáit Tráchtála sula ndéanann an Bord ceapacháin chun na Foirne Ceannaireachta nó chuig ról Rúnaí na Cuideachta.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28" w:lineRule="auto" w:before="279" w:after="0"/>
        <w:ind w:left="1280" w:right="459" w:hanging="540"/>
        <w:jc w:val="both"/>
        <w:rPr>
          <w:sz w:val="24"/>
        </w:rPr>
      </w:pPr>
      <w:r>
        <w:rPr>
          <w:sz w:val="24"/>
        </w:rPr>
        <w:t xml:space="preserve">Athbhreithniú a dhéanamh ar fheidhmíocht chomhaltaí na Foirne Ceannaireachta gach bliain.</w:t>
      </w:r>
      <w:r>
        <w:rPr>
          <w:sz w:val="24"/>
        </w:rPr>
        <w:t xml:space="preserve"> </w:t>
      </w:r>
      <w:r>
        <w:rPr>
          <w:sz w:val="24"/>
        </w:rPr>
        <w:t xml:space="preserve">Is éard a bheidh anseo tuarascáil scríofa ón bPríomh-Stiúrthóir ar chur i gcrích cuspóirí ag comhaltaí na Foirne Ceannaireachta agus ar na príomhthorthaí.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28" w:lineRule="auto" w:before="279" w:after="0"/>
        <w:ind w:left="1280" w:right="459" w:hanging="540"/>
        <w:jc w:val="both"/>
        <w:rPr>
          <w:sz w:val="24"/>
        </w:rPr>
      </w:pPr>
      <w:r>
        <w:rPr>
          <w:sz w:val="24"/>
        </w:rPr>
        <w:t xml:space="preserve">Athbhreithniú a dhéanamh gach bliain, i gcomhairle leis an bPríomh-Stiúrthóir, ar dheiseanna chun píblíne na tallainne a fhorbairt, ar phleanáil comharbais agus ar fhorbairt ceannaireachta do róil ar an bhfoireann ceannaireachta.</w:t>
      </w:r>
    </w:p>
    <w:p>
      <w:pPr>
        <w:pStyle w:val="ListParagraph"/>
        <w:numPr>
          <w:ilvl w:val="0"/>
          <w:numId w:val="7"/>
        </w:numPr>
        <w:tabs>
          <w:tab w:pos="1278" w:val="left" w:leader="none"/>
          <w:tab w:pos="1280" w:val="left" w:leader="none"/>
        </w:tabs>
        <w:spacing w:line="228" w:lineRule="auto" w:before="279" w:after="0"/>
        <w:ind w:left="1280" w:right="454" w:hanging="540"/>
        <w:jc w:val="both"/>
        <w:rPr>
          <w:sz w:val="24"/>
        </w:rPr>
      </w:pPr>
      <w:r>
        <w:rPr>
          <w:sz w:val="24"/>
        </w:rPr>
        <w:t xml:space="preserve">Ceadú aon chórais cúitimh bunaithe ar fheidhmíocht (agus athruithe air) faoi mar a bhainfeadh le comhaltaí den Fhoireann Ceannaireachta / le Rúnaí na Cuideachta, nó ceadú scéimeanna ag baint le feidhmíocht tráchtála.</w:t>
      </w:r>
    </w:p>
    <w:p>
      <w:pPr>
        <w:pStyle w:val="ListParagraph"/>
        <w:spacing w:after="0" w:line="228" w:lineRule="auto"/>
        <w:jc w:val="both"/>
        <w:rPr>
          <w:sz w:val="24"/>
        </w:rPr>
        <w:sectPr>
          <w:pgSz w:w="11930" w:h="16860"/>
          <w:pgMar w:header="0" w:footer="1537" w:top="1440" w:bottom="1820" w:left="1559" w:right="1133"/>
        </w:sectPr>
      </w:pP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40" w:lineRule="auto" w:before="37" w:after="0"/>
        <w:ind w:left="1280" w:right="0" w:hanging="540"/>
        <w:jc w:val="left"/>
        <w:rPr>
          <w:sz w:val="24"/>
        </w:rPr>
      </w:pPr>
      <w:r>
        <w:rPr>
          <w:sz w:val="24"/>
        </w:rPr>
        <w:t xml:space="preserve">Polasaí Luacha Saothair RTÉ a cheadú.</w:t>
      </w:r>
    </w:p>
    <w:p>
      <w:pPr>
        <w:pStyle w:val="ListParagraph"/>
        <w:numPr>
          <w:ilvl w:val="0"/>
          <w:numId w:val="7"/>
        </w:numPr>
        <w:tabs>
          <w:tab w:pos="1278" w:val="left" w:leader="none"/>
          <w:tab w:pos="1280" w:val="left" w:leader="none"/>
        </w:tabs>
        <w:spacing w:line="228" w:lineRule="auto" w:before="275" w:after="0"/>
        <w:ind w:left="1280" w:right="454" w:hanging="540"/>
        <w:jc w:val="both"/>
        <w:rPr>
          <w:sz w:val="24"/>
        </w:rPr>
      </w:pPr>
      <w:r>
        <w:rPr>
          <w:sz w:val="24"/>
        </w:rPr>
        <w:t xml:space="preserve">Sa bhreis ar chlásal 1 (b) thuas, ceadú luacha saothair an deichniúir (10) is airde in RTÉ ó thaobh luach saothair de atá fostaithe mar láithreoirí ar an aer (arna ríomh de réir fhigiúirí na bliana roimhe).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28" w:lineRule="auto" w:before="279" w:after="0"/>
        <w:ind w:left="1280" w:right="451" w:hanging="540"/>
        <w:jc w:val="both"/>
        <w:rPr>
          <w:sz w:val="24"/>
        </w:rPr>
      </w:pPr>
      <w:r>
        <w:rPr>
          <w:sz w:val="24"/>
        </w:rPr>
        <w:t xml:space="preserve">Luach saothair aon chomhaltaí ar bhoird d’fhochuideachtaí RTÉ a mheas nár cheap an Rialtas iad.</w:t>
      </w:r>
      <w:r>
        <w:rPr>
          <w:sz w:val="24"/>
        </w:rPr>
        <w:t xml:space="preserve"> </w:t>
      </w:r>
      <w:r>
        <w:rPr>
          <w:sz w:val="24"/>
        </w:rPr>
        <w:t xml:space="preserve">(D’fhonn amhras a sheachaint, is é an Rialtas a dhéanann luach saothair Bhord RTÉ a shocrú agus, dá réir, ní dhéanann an Coiste seo é sin a mheas go sonrach).</w:t>
      </w:r>
    </w:p>
    <w:p>
      <w:pPr>
        <w:pStyle w:val="ListParagraph"/>
        <w:numPr>
          <w:ilvl w:val="0"/>
          <w:numId w:val="7"/>
        </w:numPr>
        <w:tabs>
          <w:tab w:pos="1278" w:val="left" w:leader="none"/>
          <w:tab w:pos="1280" w:val="left" w:leader="none"/>
        </w:tabs>
        <w:spacing w:line="228" w:lineRule="auto" w:before="279" w:after="0"/>
        <w:ind w:left="1280" w:right="457" w:hanging="540"/>
        <w:jc w:val="both"/>
        <w:rPr>
          <w:sz w:val="24"/>
        </w:rPr>
      </w:pPr>
      <w:r>
        <w:rPr>
          <w:sz w:val="24"/>
        </w:rPr>
        <w:t xml:space="preserve">Cuspóirí, ról agus líne thuairiscithe fheidhm Rúnaíocht an Ghrúpa a shocrú agus a athbhreithniú go tráthrialta.</w:t>
      </w:r>
      <w:r>
        <w:rPr>
          <w:sz w:val="24"/>
        </w:rPr>
        <w:t xml:space="preserve"> </w:t>
      </w:r>
      <w:r>
        <w:rPr>
          <w:sz w:val="24"/>
        </w:rPr>
        <w:t xml:space="preserve">Ceapachán Rúnaí Ghrúpa RTÉ a cheadú.</w:t>
      </w:r>
      <w:r>
        <w:rPr>
          <w:sz w:val="24"/>
        </w:rPr>
        <w:t xml:space="preserve"> </w:t>
      </w:r>
      <w:r>
        <w:rPr>
          <w:sz w:val="24"/>
        </w:rPr>
        <w:t xml:space="preserve">Athbhreithniú a dhéanamh ar fheidhmíocht Rúnaí na Cuideachta.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28" w:lineRule="auto" w:before="277" w:after="0"/>
        <w:ind w:left="1280" w:right="455" w:hanging="540"/>
        <w:jc w:val="both"/>
        <w:rPr>
          <w:sz w:val="24"/>
        </w:rPr>
      </w:pPr>
      <w:r>
        <w:rPr>
          <w:sz w:val="24"/>
        </w:rPr>
        <w:t xml:space="preserve">Comhairle a chur ar an gCathaoirleach, i gcomhthéacs comhairle a chur ar an Aire maidir le ceapacháin a bheadh le déanamh chun an bhoird, maidir leis an réimse cumais a theastaíonn i measc chomhaltaí an Bhoird ar bhonn earnála, oibriúcháin, geografach agus feidhmeanna, ar chóir a chuimsiú freisin na scileanna sonracha agus an taithí shonrach atá le bheith ag comhaltaí Boird mar atá leagtha amach in Alt 82 den Acht Craolacháin (2009), agus á chinntiú go bhféachtar mar is cuí do na forálacha sa Chód</w:t>
      </w:r>
      <w:hyperlink w:history="true" w:anchor="_bookmark1">
        <w:r>
          <w:rPr>
            <w:sz w:val="22"/>
            <w:rFonts w:ascii="Times New Roman"/>
          </w:rPr>
          <w:t xml:space="preserve">2</w:t>
        </w:r>
      </w:hyperlink>
      <w:r>
        <w:rPr>
          <w:sz w:val="22"/>
          <w:rFonts w:ascii="Times New Roman"/>
        </w:rPr>
        <w:t xml:space="preserve"> </w:t>
      </w:r>
      <w:r>
        <w:rPr>
          <w:sz w:val="24"/>
        </w:rPr>
        <w:t xml:space="preserve">i dtaca le cothromaíocht inscne, éagsúlacht agus ionchuimsiú.</w:t>
      </w:r>
    </w:p>
    <w:p>
      <w:pPr>
        <w:pStyle w:val="ListParagraph"/>
        <w:numPr>
          <w:ilvl w:val="0"/>
          <w:numId w:val="7"/>
        </w:numPr>
        <w:tabs>
          <w:tab w:pos="1278" w:val="left" w:leader="none"/>
          <w:tab w:pos="1280" w:val="left" w:leader="none"/>
        </w:tabs>
        <w:spacing w:line="228" w:lineRule="auto" w:before="279" w:after="0"/>
        <w:ind w:left="1280" w:right="453" w:hanging="540"/>
        <w:jc w:val="both"/>
        <w:rPr>
          <w:sz w:val="24"/>
        </w:rPr>
      </w:pPr>
      <w:r>
        <w:rPr>
          <w:sz w:val="24"/>
        </w:rPr>
        <w:t xml:space="preserve">Faisnéis iontaofa chun dáta a fháil maidir le luach saothair in eagraíochtaí eile ar scála agus ar chastacht den chineál céanna.</w:t>
      </w:r>
      <w:r>
        <w:rPr>
          <w:sz w:val="24"/>
        </w:rPr>
        <w:t xml:space="preserve"> </w:t>
      </w:r>
      <w:r>
        <w:rPr>
          <w:sz w:val="24"/>
        </w:rPr>
        <w:t xml:space="preserve">D’fhonn cuidiú leis a chuid oibleagáidí a chomhlíonadh, beidh an t-údarás iomlán ag an gCoiste sainchomhairleoirí luacha saothair a cheapadh agus aon tuarascálacha, suirbhéanna nó faisnéis a choimisiúnú nó a cheannach de réir mar a mheasann sé is gá, an costas á sheasamh ag RTÉ ach ag cloí le haon srianta buiséadacha arna leagan síos ag Bord RTÉ.</w:t>
      </w:r>
    </w:p>
    <w:p>
      <w:pPr>
        <w:pStyle w:val="ListParagraph"/>
        <w:numPr>
          <w:ilvl w:val="0"/>
          <w:numId w:val="7"/>
        </w:numPr>
        <w:tabs>
          <w:tab w:pos="1278" w:val="left" w:leader="none"/>
          <w:tab w:pos="1280" w:val="left" w:leader="none"/>
        </w:tabs>
        <w:spacing w:line="228" w:lineRule="auto" w:before="279" w:after="0"/>
        <w:ind w:left="1280" w:right="458" w:hanging="540"/>
        <w:jc w:val="both"/>
        <w:rPr>
          <w:sz w:val="24"/>
        </w:rPr>
      </w:pPr>
      <w:r>
        <w:rPr>
          <w:sz w:val="24"/>
        </w:rPr>
        <w:t xml:space="preserve">Freagracht iomlán a ghlacadh as na critéir roghnúcháin a shocrú, as aon sainchomhairleoirí luacha saothair a chuirfidh comhairle ar an gCoiste a roghnú agus a cheapadh, agus as na téarmaí tagartha a shocrú dóibh.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28" w:lineRule="auto" w:before="279" w:after="0"/>
        <w:ind w:left="1280" w:right="455" w:hanging="540"/>
        <w:jc w:val="both"/>
        <w:rPr>
          <w:sz w:val="24"/>
        </w:rPr>
      </w:pPr>
      <w:r>
        <w:rPr>
          <w:sz w:val="24"/>
        </w:rPr>
        <w:t xml:space="preserve">I dtaca leis na daoine dá dtagraítear i míreanna 4(a) go (d), a chinntiú gur cothrom don duine agus do RTÉ na téarmaí conarthacha foirceanta agus aon íocaíochtaí a dhéantar, nach dtugtar luach saothair as teip agus go n-aithnítear ina iomláine an dualgas as caillteanas a mhaolú i gcomhréir leis an bpolasaí um Luach Saothair.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28" w:lineRule="auto" w:before="279" w:after="0"/>
        <w:ind w:left="1280" w:right="459" w:hanging="540"/>
        <w:jc w:val="both"/>
        <w:rPr>
          <w:sz w:val="24"/>
        </w:rPr>
      </w:pPr>
      <w:r>
        <w:rPr>
          <w:sz w:val="24"/>
        </w:rPr>
        <w:t xml:space="preserve">Maoirseacht a dhéanamh ar aon athruithe móra ar struchtúir sochar fostaithe i nGrúpa iomlán RTÉ agus ar na téarmaí in aon chláir le haghaidh Téarbhadh Deonach.</w:t>
      </w:r>
    </w:p>
    <w:p>
      <w:pPr>
        <w:pStyle w:val="ListParagraph"/>
        <w:numPr>
          <w:ilvl w:val="0"/>
          <w:numId w:val="7"/>
        </w:numPr>
        <w:tabs>
          <w:tab w:pos="1280" w:val="left" w:leader="none"/>
        </w:tabs>
        <w:spacing w:line="240" w:lineRule="auto" w:before="267" w:after="0"/>
        <w:ind w:left="1280" w:right="0" w:hanging="540"/>
        <w:jc w:val="left"/>
        <w:rPr>
          <w:sz w:val="24"/>
        </w:rPr>
      </w:pPr>
      <w:r>
        <w:rPr>
          <w:sz w:val="24"/>
        </w:rPr>
        <w:t xml:space="preserve">Dul i mbun oibre agus plé mar is gá le gach coiste eile den Bhord.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1003096</wp:posOffset>
                </wp:positionH>
                <wp:positionV relativeFrom="paragraph">
                  <wp:posOffset>177946</wp:posOffset>
                </wp:positionV>
                <wp:extent cx="1829435" cy="762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984001pt;margin-top:14.011504pt;width:144.020pt;height:.599980pt;mso-position-horizontal-relative:page;mso-position-vertical-relative:paragraph;z-index:-15727616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6"/>
        <w:ind w:left="20" w:right="0" w:firstLine="0"/>
        <w:jc w:val="left"/>
        <w:rPr>
          <w:sz w:val="20"/>
          <w:rFonts w:ascii="Times New Roman"/>
        </w:rPr>
      </w:pPr>
      <w:bookmarkStart w:id="2" w:name="_bookmark1"/>
      <w:bookmarkEnd w:id="2"/>
      <w:r>
        <w:rPr>
          <w:sz w:val="20"/>
          <w:vertAlign w:val="superscript"/>
          <w:rFonts w:ascii="Times New Roman"/>
        </w:rPr>
        <w:t xml:space="preserve">2</w:t>
      </w:r>
      <w:r>
        <w:rPr>
          <w:sz w:val="20"/>
          <w:rFonts w:ascii="Times New Roman"/>
        </w:rPr>
        <w:t xml:space="preserve"> An Cód Cleachtais chun Comhlachtaí Stáit a Rialú:</w:t>
      </w:r>
      <w:r>
        <w:rPr>
          <w:sz w:val="20"/>
          <w:rFonts w:ascii="Times New Roman"/>
        </w:rPr>
        <w:t xml:space="preserve"> </w:t>
      </w:r>
      <w:r>
        <w:rPr>
          <w:sz w:val="20"/>
          <w:rFonts w:ascii="Times New Roman"/>
        </w:rPr>
        <w:t xml:space="preserve">Iarscríbhinn maidir le Cothromaíocht Inscne, Éagsúlacht agus Ionchuimsiú (2020).</w:t>
      </w:r>
    </w:p>
    <w:p>
      <w:pPr>
        <w:spacing w:after="0"/>
        <w:jc w:val="left"/>
        <w:rPr>
          <w:rFonts w:ascii="Times New Roman"/>
          <w:sz w:val="20"/>
        </w:rPr>
        <w:sectPr>
          <w:pgSz w:w="11930" w:h="16860"/>
          <w:pgMar w:header="0" w:footer="1537" w:top="1440" w:bottom="1720" w:left="1559" w:right="1133"/>
        </w:sectPr>
      </w:pPr>
    </w:p>
    <w:p>
      <w:pPr>
        <w:pStyle w:val="BodyText"/>
        <w:spacing w:before="37"/>
        <w:ind w:left="740"/>
      </w:pPr>
      <w:r>
        <w:t xml:space="preserve">Chun críocha an pholasaí seo, is é is ciall le luach saothair:</w:t>
      </w:r>
      <w:r>
        <w:t xml:space="preserve"> </w:t>
      </w:r>
      <w:r>
        <w:t xml:space="preserve">-</w:t>
      </w:r>
    </w:p>
    <w:p>
      <w:pPr>
        <w:pStyle w:val="ListParagraph"/>
        <w:numPr>
          <w:ilvl w:val="0"/>
          <w:numId w:val="8"/>
        </w:numPr>
        <w:tabs>
          <w:tab w:pos="1100" w:val="left" w:leader="none"/>
        </w:tabs>
        <w:spacing w:line="228" w:lineRule="auto" w:before="277" w:after="0"/>
        <w:ind w:left="1100" w:right="451" w:hanging="360"/>
        <w:jc w:val="both"/>
        <w:rPr>
          <w:sz w:val="24"/>
        </w:rPr>
      </w:pPr>
      <w:r>
        <w:rPr>
          <w:sz w:val="24"/>
        </w:rPr>
        <w:t xml:space="preserve">I gcás fostaithe: tuarastal bunúsach, liúntais, aoisliúntas, agus na sochair airgeadais agus a gcomhionann ar fad, cuir i gcás sochar comhchineáil (.i. pacáiste iomlán luacha saothair an duine);</w:t>
      </w:r>
    </w:p>
    <w:p>
      <w:pPr>
        <w:pStyle w:val="ListParagraph"/>
        <w:numPr>
          <w:ilvl w:val="0"/>
          <w:numId w:val="8"/>
        </w:numPr>
        <w:tabs>
          <w:tab w:pos="1100" w:val="left" w:leader="none"/>
        </w:tabs>
        <w:spacing w:line="225" w:lineRule="auto" w:before="280" w:after="0"/>
        <w:ind w:left="1100" w:right="449" w:hanging="360"/>
        <w:jc w:val="both"/>
        <w:rPr>
          <w:sz w:val="24"/>
        </w:rPr>
      </w:pPr>
      <w:r>
        <w:rPr>
          <w:sz w:val="24"/>
        </w:rPr>
        <w:t xml:space="preserve">Maidir le láithreoirí nach duine den fhoireann iad: an táille iomlán is iníoctha, lena n-áirítear na liúntais airgeadais go léir ach gan CBL a áireamh.</w:t>
      </w:r>
    </w:p>
    <w:p>
      <w:pPr>
        <w:pStyle w:val="BodyText"/>
        <w:spacing w:before="2"/>
      </w:pPr>
    </w:p>
    <w:p>
      <w:pPr>
        <w:pStyle w:val="BodyText"/>
        <w:ind w:left="740"/>
      </w:pPr>
      <w:r>
        <w:t xml:space="preserve">Nósanna Imeachta Tuairiscithe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"/>
        </w:numPr>
        <w:tabs>
          <w:tab w:pos="1100" w:val="left" w:leader="none"/>
        </w:tabs>
        <w:spacing w:line="228" w:lineRule="auto" w:before="0" w:after="0"/>
        <w:ind w:left="1100" w:right="453" w:hanging="360"/>
        <w:jc w:val="both"/>
        <w:rPr>
          <w:sz w:val="24"/>
        </w:rPr>
      </w:pPr>
      <w:r>
        <w:rPr>
          <w:sz w:val="24"/>
        </w:rPr>
        <w:t xml:space="preserve">Tuairisceoidh Cathaoirleach an Choiste go foirmiúil don Bhord ar imeachtaí an Choiste i ndiaidh gach cruinnithe, sa chéad chruinniú sceidealaithe eile den Bhord de ghnáth.</w:t>
      </w:r>
      <w:r>
        <w:rPr>
          <w:sz w:val="24"/>
        </w:rPr>
        <w:t xml:space="preserve"> </w:t>
      </w:r>
      <w:r>
        <w:rPr>
          <w:sz w:val="24"/>
        </w:rPr>
        <w:t xml:space="preserve">Déanfaidh Cathaoirleach an Choiste a chinntiú go gcuirfear an Bord iomlán ar an eolas go pras maidir le haon údar imní a bhaineann le hábhar a d’fhéadfadh a bheith ábhartha i gcomhthéacs fhreagrachtaí an Bhoird iomláin.</w:t>
      </w:r>
    </w:p>
    <w:p>
      <w:pPr>
        <w:pStyle w:val="ListParagraph"/>
        <w:numPr>
          <w:ilvl w:val="0"/>
          <w:numId w:val="9"/>
        </w:numPr>
        <w:tabs>
          <w:tab w:pos="1100" w:val="left" w:leader="none"/>
        </w:tabs>
        <w:spacing w:line="228" w:lineRule="auto" w:before="277" w:after="0"/>
        <w:ind w:left="1100" w:right="457" w:hanging="360"/>
        <w:jc w:val="both"/>
        <w:rPr>
          <w:sz w:val="24"/>
        </w:rPr>
      </w:pPr>
      <w:r>
        <w:rPr>
          <w:sz w:val="24"/>
        </w:rPr>
        <w:t xml:space="preserve">Déanfaidh an Coiste cibé moltaí a dhéanamh don Bhord faoin méid a mheasann sé is cuí in aon réimse a thiteann faoi shainchúram an Choiste má bhíonn gníomh nó feabhsú de dhíth.</w:t>
      </w:r>
    </w:p>
    <w:p>
      <w:pPr>
        <w:pStyle w:val="ListParagraph"/>
        <w:numPr>
          <w:ilvl w:val="0"/>
          <w:numId w:val="9"/>
        </w:numPr>
        <w:tabs>
          <w:tab w:pos="1100" w:val="left" w:leader="none"/>
        </w:tabs>
        <w:spacing w:line="228" w:lineRule="auto" w:before="0" w:after="0"/>
        <w:ind w:left="1100" w:right="459" w:hanging="360"/>
        <w:jc w:val="both"/>
        <w:rPr>
          <w:sz w:val="24"/>
        </w:rPr>
      </w:pPr>
      <w:r>
        <w:rPr>
          <w:sz w:val="24"/>
        </w:rPr>
        <w:t xml:space="preserve">Cuirfidh an Coiste tuarascáil i dtoll a chéile ina dtabharfar cuntas ar chomhaltas an Choiste agus ar dhualgais agus gníomhaíochtaí an Choiste i gcaitheamh na bliana, tuarascáil atá le cur san áireamh sa Tuarascáil Bhliantúil agus sna Cuntais Bhliantúla.</w:t>
      </w:r>
    </w:p>
    <w:p>
      <w:pPr>
        <w:pStyle w:val="ListParagraph"/>
        <w:numPr>
          <w:ilvl w:val="0"/>
          <w:numId w:val="9"/>
        </w:numPr>
        <w:tabs>
          <w:tab w:pos="1100" w:val="left" w:leader="none"/>
        </w:tabs>
        <w:spacing w:line="228" w:lineRule="auto" w:before="279" w:after="0"/>
        <w:ind w:left="1100" w:right="458" w:hanging="360"/>
        <w:jc w:val="both"/>
        <w:rPr>
          <w:sz w:val="24"/>
        </w:rPr>
      </w:pPr>
      <w:r>
        <w:rPr>
          <w:sz w:val="24"/>
        </w:rPr>
        <w:t xml:space="preserve">Sa tuarascáil dá dtagraítear i mír 5(c), tabharfar na figiúirí le haghaidh na láithreoirí is airde pá dá dtagraítear i mír 4(c) agus cuirfear iad siúd ar fáil don Choiste sula ndéanfar iad a fhoilsiú nó a chur isteach sa Tuarascáil Bhliantúil agus sna Cuntais Bhliantúla.</w:t>
      </w:r>
    </w:p>
    <w:p>
      <w:pPr>
        <w:pStyle w:val="ListParagraph"/>
        <w:numPr>
          <w:ilvl w:val="0"/>
          <w:numId w:val="9"/>
        </w:numPr>
        <w:tabs>
          <w:tab w:pos="1098" w:val="left" w:leader="none"/>
          <w:tab w:pos="1100" w:val="left" w:leader="none"/>
        </w:tabs>
        <w:spacing w:line="228" w:lineRule="auto" w:before="279" w:after="0"/>
        <w:ind w:left="1100" w:right="458" w:hanging="360"/>
        <w:jc w:val="both"/>
        <w:rPr>
          <w:sz w:val="24"/>
        </w:rPr>
      </w:pPr>
      <w:r>
        <w:rPr>
          <w:sz w:val="24"/>
        </w:rPr>
        <w:t xml:space="preserve">Gach bliain, tabharfaidh Cathaoirleach an Choiste an deis do chomhaltaí an Bhoird aiseolas a thabhairt nó a phlé go neamhfhoirmiúil i dtaca leis an bPríomh-Stiúrthóir le go mbeifear in ann an méid sin a chur san áireamh mar chuid den phróiseas chun feidhmíocht an Phríomh-Stiúrthóra a mheas.</w:t>
      </w:r>
    </w:p>
    <w:p>
      <w:pPr>
        <w:pStyle w:val="ListParagraph"/>
        <w:numPr>
          <w:ilvl w:val="0"/>
          <w:numId w:val="9"/>
        </w:numPr>
        <w:tabs>
          <w:tab w:pos="1100" w:val="left" w:leader="none"/>
        </w:tabs>
        <w:spacing w:line="228" w:lineRule="auto" w:before="279" w:after="0"/>
        <w:ind w:left="1100" w:right="457" w:hanging="360"/>
        <w:jc w:val="both"/>
        <w:rPr>
          <w:sz w:val="24"/>
        </w:rPr>
      </w:pPr>
      <w:r>
        <w:rPr>
          <w:sz w:val="24"/>
        </w:rPr>
        <w:t xml:space="preserve">Déanfaidh Rúnaí na Cuideachta, i gcomhairle le Cathaoirleach an Choiste, plean oibre a ullmhú gach bliain, príomhtháscairí feidhmíochta san áireamh, a thabharfaidh léargas ar thosaíochtaí an Choiste don bhliain a bheidh le teacht agus lena chinntiú go mbeidh clúdach sásúil ag an gCoiste ar a shocruithe maoirseachta mar atá leagtha amach ina théarmaí tagartha.</w:t>
      </w:r>
    </w:p>
    <w:p>
      <w:pPr>
        <w:pStyle w:val="BodyText"/>
        <w:spacing w:before="44"/>
      </w:pPr>
    </w:p>
    <w:p>
      <w:pPr>
        <w:pStyle w:val="Heading2"/>
        <w:numPr>
          <w:ilvl w:val="0"/>
          <w:numId w:val="1"/>
        </w:numPr>
        <w:tabs>
          <w:tab w:pos="586" w:val="left" w:leader="none"/>
        </w:tabs>
        <w:spacing w:line="240" w:lineRule="auto" w:before="0" w:after="0"/>
        <w:ind w:left="586" w:right="0" w:hanging="566"/>
        <w:jc w:val="left"/>
      </w:pPr>
      <w:r>
        <w:t xml:space="preserve">Nithe Eile</w:t>
      </w:r>
    </w:p>
    <w:p>
      <w:pPr>
        <w:pStyle w:val="BodyText"/>
        <w:spacing w:before="87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1100" w:val="left" w:leader="none"/>
        </w:tabs>
        <w:spacing w:line="228" w:lineRule="auto" w:before="1" w:after="0"/>
        <w:ind w:left="1100" w:right="456" w:hanging="360"/>
        <w:jc w:val="both"/>
        <w:rPr>
          <w:sz w:val="24"/>
        </w:rPr>
      </w:pPr>
      <w:r>
        <w:rPr>
          <w:sz w:val="24"/>
        </w:rPr>
        <w:t xml:space="preserve">Déanfaidh an Coiste athbhreithniú go tráthrialta ar na téarmaí tagartha seo agus cuirfidh moltaí faoi bhráid an Bhoird i dtaobh iad a athrú chun dáta nó a leasú de réir mar is cuí.</w:t>
      </w:r>
    </w:p>
    <w:p>
      <w:pPr>
        <w:pStyle w:val="ListParagraph"/>
        <w:numPr>
          <w:ilvl w:val="0"/>
          <w:numId w:val="10"/>
        </w:numPr>
        <w:tabs>
          <w:tab w:pos="1100" w:val="left" w:leader="none"/>
        </w:tabs>
        <w:spacing w:line="228" w:lineRule="auto" w:before="279" w:after="0"/>
        <w:ind w:left="1100" w:right="454" w:hanging="360"/>
        <w:jc w:val="both"/>
        <w:rPr>
          <w:sz w:val="24"/>
        </w:rPr>
      </w:pPr>
      <w:r>
        <w:rPr>
          <w:sz w:val="24"/>
        </w:rPr>
        <w:t xml:space="preserve">Cuirfear oiliúint oiriúnach ar an gCoiste i dtráth cuí, is é sin clár ionduchtúcháin do chomhaltaí nua agus oiliúint leanúnach ar gach comhalta.</w:t>
      </w:r>
    </w:p>
    <w:sectPr>
      <w:pgSz w:w="11930" w:h="16860"/>
      <w:pgMar w:header="0" w:footer="1537" w:top="1440" w:bottom="182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6648957</wp:posOffset>
              </wp:positionH>
              <wp:positionV relativeFrom="page">
                <wp:posOffset>9527540</wp:posOffset>
              </wp:positionV>
              <wp:extent cx="160020" cy="1657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2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3.539978pt;margin-top:750.200012pt;width:12.6pt;height:13.05pt;mso-position-horizontal-relative:page;mso-position-vertical-relative:page;z-index:-15832064" type="#_x0000_t202" id="docshape9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2</w:t>
                    </w:r>
                    <w:r>
                      <w:rPr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lowerLetter"/>
      <w:lvlText w:val="%1)"/>
      <w:lvlJc w:val="left"/>
      <w:pPr>
        <w:ind w:left="110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10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1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280" w:hanging="5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4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9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9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4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9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4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9" w:hanging="54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191" w:hanging="45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2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5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1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4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7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3" w:hanging="45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191" w:hanging="45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2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5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1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4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7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3" w:hanging="45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191" w:hanging="45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2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5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1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4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7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3" w:hanging="45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10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9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191" w:hanging="45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13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2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5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1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4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7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0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23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40" w:hanging="72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91" w:hanging="45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280" w:hanging="5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3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7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6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54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8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1" w:hanging="540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ga-IE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ga-I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ga-IE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2" w:hanging="2060"/>
      <w:outlineLvl w:val="1"/>
    </w:pPr>
    <w:rPr>
      <w:rFonts w:ascii="Calibri" w:hAnsi="Calibri" w:eastAsia="Calibri" w:cs="Calibri"/>
      <w:b/>
      <w:bCs/>
      <w:sz w:val="26"/>
      <w:szCs w:val="26"/>
      <w:lang w:val="ga-IE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740" w:hanging="720"/>
      <w:outlineLvl w:val="2"/>
    </w:pPr>
    <w:rPr>
      <w:rFonts w:ascii="Calibri" w:hAnsi="Calibri" w:eastAsia="Calibri" w:cs="Calibri"/>
      <w:b/>
      <w:bCs/>
      <w:sz w:val="24"/>
      <w:szCs w:val="24"/>
      <w:lang w:val="ga-IE" w:eastAsia="en-US" w:bidi="ar-SA"/>
    </w:rPr>
  </w:style>
  <w:style w:styleId="ListParagraph" w:type="paragraph">
    <w:name w:val="List Paragraph"/>
    <w:basedOn w:val="Normal"/>
    <w:uiPriority w:val="1"/>
    <w:qFormat/>
    <w:pPr>
      <w:spacing w:before="279"/>
      <w:ind w:left="1280" w:hanging="540"/>
      <w:jc w:val="both"/>
    </w:pPr>
    <w:rPr>
      <w:rFonts w:ascii="Calibri" w:hAnsi="Calibri" w:eastAsia="Calibri" w:cs="Calibri"/>
      <w:lang w:val="ga-I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ga-I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Shortt</dc:creator>
  <dcterms:created xsi:type="dcterms:W3CDTF">2026-02-11T13:59:40Z</dcterms:created>
  <dcterms:modified xsi:type="dcterms:W3CDTF">2026-02-11T13:59:40Z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for Microsoft 365</vt:lpwstr>
  </property>
</Properties>
</file>